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05A78797"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03095E">
        <w:rPr>
          <w:rFonts w:ascii="Garamond" w:hAnsi="Garamond"/>
          <w:i/>
          <w:sz w:val="20"/>
        </w:rPr>
        <w:t>. 76</w:t>
      </w:r>
      <w:r w:rsidRPr="000C298C">
        <w:rPr>
          <w:rFonts w:ascii="Garamond" w:hAnsi="Garamond"/>
          <w:i/>
          <w:sz w:val="20"/>
        </w:rPr>
        <w:t>/MR/</w:t>
      </w:r>
      <w:r w:rsidR="0003095E">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089D4140"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Jitka Kolouchová</w:t>
      </w:r>
      <w:r w:rsidR="000C298C" w:rsidRPr="00912D64">
        <w:rPr>
          <w:rFonts w:ascii="Garamond" w:hAnsi="Garamond"/>
        </w:rPr>
        <w:t xml:space="preserve">, </w:t>
      </w:r>
      <w:r w:rsidR="000C298C" w:rsidRPr="00C66C4E">
        <w:rPr>
          <w:rFonts w:ascii="Garamond" w:hAnsi="Garamond"/>
        </w:rPr>
        <w:t xml:space="preserve">mobil: </w:t>
      </w:r>
      <w:r w:rsidR="00B133C9" w:rsidRPr="00C66C4E">
        <w:rPr>
          <w:rFonts w:ascii="Garamond" w:hAnsi="Garamond"/>
        </w:rPr>
        <w:t>602 449 891</w:t>
      </w:r>
      <w:r w:rsidR="000C298C" w:rsidRPr="00C66C4E">
        <w:rPr>
          <w:rFonts w:ascii="Garamond" w:hAnsi="Garamond"/>
        </w:rPr>
        <w:t xml:space="preserve">, e-mail: </w:t>
      </w:r>
      <w:r w:rsidR="00C66C4E" w:rsidRPr="00C66C4E">
        <w:rPr>
          <w:rFonts w:ascii="Garamond" w:hAnsi="Garamond"/>
        </w:rPr>
        <w:t>kolouchova.jitka@ksusk.cz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6C227381"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proofErr w:type="gramStart"/>
      <w:r w:rsidR="002E565F" w:rsidRPr="009A473E">
        <w:rPr>
          <w:rFonts w:ascii="Garamond" w:hAnsi="Garamond"/>
          <w:b/>
          <w:sz w:val="28"/>
          <w:szCs w:val="28"/>
        </w:rPr>
        <w:t>: ,,</w:t>
      </w:r>
      <w:r w:rsidR="009A473E" w:rsidRPr="009A473E">
        <w:rPr>
          <w:rFonts w:ascii="Garamond" w:hAnsi="Garamond"/>
          <w:b/>
          <w:bCs/>
          <w:sz w:val="28"/>
          <w:szCs w:val="28"/>
        </w:rPr>
        <w:t>III</w:t>
      </w:r>
      <w:proofErr w:type="gramEnd"/>
      <w:r w:rsidR="009A473E" w:rsidRPr="009A473E">
        <w:rPr>
          <w:rFonts w:ascii="Garamond" w:hAnsi="Garamond"/>
          <w:b/>
          <w:bCs/>
          <w:sz w:val="28"/>
          <w:szCs w:val="28"/>
        </w:rPr>
        <w:t xml:space="preserve">/21223 Nebanice - </w:t>
      </w:r>
      <w:proofErr w:type="spellStart"/>
      <w:r w:rsidR="009A473E" w:rsidRPr="009A473E">
        <w:rPr>
          <w:rFonts w:ascii="Garamond" w:hAnsi="Garamond"/>
          <w:b/>
          <w:bCs/>
          <w:sz w:val="28"/>
          <w:szCs w:val="28"/>
        </w:rPr>
        <w:t>Hartoušov</w:t>
      </w:r>
      <w:proofErr w:type="spellEnd"/>
      <w:r w:rsidR="000C298C" w:rsidRPr="009A473E">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24CB5DFF" w14:textId="7ABB07AB" w:rsidR="000C298C" w:rsidRPr="00A748A5" w:rsidRDefault="00EA6735" w:rsidP="00EA6735">
      <w:pPr>
        <w:numPr>
          <w:ilvl w:val="0"/>
          <w:numId w:val="20"/>
        </w:numPr>
        <w:ind w:left="567" w:hanging="567"/>
        <w:jc w:val="both"/>
        <w:rPr>
          <w:rFonts w:ascii="Garamond" w:hAnsi="Garamond"/>
          <w:sz w:val="22"/>
          <w:szCs w:val="22"/>
        </w:rPr>
      </w:pPr>
      <w:r w:rsidRPr="00EA6735">
        <w:rPr>
          <w:rFonts w:ascii="Garamond" w:hAnsi="Garamond"/>
          <w:sz w:val="22"/>
          <w:szCs w:val="22"/>
        </w:rPr>
        <w:t xml:space="preserve">Zhotovitel se zavazuje provést dílo označené jako „III/21223 </w:t>
      </w:r>
      <w:proofErr w:type="gramStart"/>
      <w:r w:rsidRPr="00EA6735">
        <w:rPr>
          <w:rFonts w:ascii="Garamond" w:hAnsi="Garamond"/>
          <w:sz w:val="22"/>
          <w:szCs w:val="22"/>
        </w:rPr>
        <w:t xml:space="preserve">Nebanice - </w:t>
      </w:r>
      <w:proofErr w:type="spellStart"/>
      <w:r w:rsidRPr="00EA6735">
        <w:rPr>
          <w:rFonts w:ascii="Garamond" w:hAnsi="Garamond"/>
          <w:sz w:val="22"/>
          <w:szCs w:val="22"/>
        </w:rPr>
        <w:t>Hartoušov</w:t>
      </w:r>
      <w:proofErr w:type="spellEnd"/>
      <w:proofErr w:type="gramEnd"/>
      <w:r w:rsidRPr="00EA6735">
        <w:rPr>
          <w:rFonts w:ascii="Garamond" w:hAnsi="Garamond"/>
          <w:sz w:val="22"/>
          <w:szCs w:val="22"/>
        </w:rPr>
        <w:t>“ v souladu s podmínkami této smlouvy.</w:t>
      </w:r>
      <w:r>
        <w:rPr>
          <w:rFonts w:ascii="Garamond" w:hAnsi="Garamond"/>
          <w:sz w:val="22"/>
          <w:szCs w:val="22"/>
        </w:rPr>
        <w:t xml:space="preserve"> </w:t>
      </w:r>
      <w:r w:rsidR="008F056C" w:rsidRPr="00EE0298">
        <w:rPr>
          <w:rFonts w:ascii="Garamond" w:hAnsi="Garamond"/>
          <w:bCs/>
          <w:sz w:val="22"/>
          <w:szCs w:val="22"/>
        </w:rPr>
        <w:t xml:space="preserve">Jedná se o opravu povrchu silnice </w:t>
      </w:r>
      <w:bookmarkStart w:id="0" w:name="_Hlk10711178"/>
      <w:r w:rsidR="008F056C" w:rsidRPr="00EE0298">
        <w:rPr>
          <w:rFonts w:ascii="Garamond" w:hAnsi="Garamond"/>
          <w:bCs/>
          <w:sz w:val="22"/>
          <w:szCs w:val="22"/>
        </w:rPr>
        <w:t>III/21223 km cca 1,345</w:t>
      </w:r>
      <w:r>
        <w:rPr>
          <w:rFonts w:ascii="Garamond" w:hAnsi="Garamond"/>
          <w:bCs/>
          <w:sz w:val="22"/>
          <w:szCs w:val="22"/>
        </w:rPr>
        <w:t xml:space="preserve"> </w:t>
      </w:r>
      <w:r w:rsidR="008F056C" w:rsidRPr="00EE0298">
        <w:rPr>
          <w:rFonts w:ascii="Garamond" w:hAnsi="Garamond"/>
          <w:bCs/>
          <w:sz w:val="22"/>
          <w:szCs w:val="22"/>
        </w:rPr>
        <w:t>- 1,790 a 1,920 - 3,220 v celkové délce cca 1 745 bm v ploše cca 11 264 m</w:t>
      </w:r>
      <w:r w:rsidR="008F056C" w:rsidRPr="00EE0298">
        <w:rPr>
          <w:rFonts w:ascii="Garamond" w:hAnsi="Garamond"/>
          <w:bCs/>
          <w:sz w:val="22"/>
          <w:szCs w:val="22"/>
          <w:vertAlign w:val="superscript"/>
        </w:rPr>
        <w:t>2</w:t>
      </w:r>
      <w:r w:rsidR="008F056C" w:rsidRPr="00EE0298">
        <w:rPr>
          <w:rFonts w:ascii="Garamond" w:hAnsi="Garamond"/>
          <w:bCs/>
          <w:sz w:val="22"/>
          <w:szCs w:val="22"/>
        </w:rPr>
        <w:t xml:space="preserve"> vč. napojení a náběhů odstraněním živičného krytu frézováním </w:t>
      </w:r>
      <w:proofErr w:type="spellStart"/>
      <w:r w:rsidR="008F056C" w:rsidRPr="00EE0298">
        <w:rPr>
          <w:rFonts w:ascii="Garamond" w:hAnsi="Garamond"/>
          <w:bCs/>
          <w:sz w:val="22"/>
          <w:szCs w:val="22"/>
        </w:rPr>
        <w:t>tl</w:t>
      </w:r>
      <w:proofErr w:type="spellEnd"/>
      <w:r w:rsidR="008F056C" w:rsidRPr="00EE0298">
        <w:rPr>
          <w:rFonts w:ascii="Garamond" w:hAnsi="Garamond"/>
          <w:bCs/>
          <w:sz w:val="22"/>
          <w:szCs w:val="22"/>
        </w:rPr>
        <w:t>. 50 mm, provedení postřiku spojovací ze silniční emulze 0,4 kg/m</w:t>
      </w:r>
      <w:r w:rsidR="008F056C" w:rsidRPr="00EE0298">
        <w:rPr>
          <w:rFonts w:ascii="Garamond" w:hAnsi="Garamond"/>
          <w:bCs/>
          <w:sz w:val="22"/>
          <w:szCs w:val="22"/>
          <w:vertAlign w:val="superscript"/>
        </w:rPr>
        <w:t>2</w:t>
      </w:r>
      <w:r w:rsidR="008F056C" w:rsidRPr="00EE0298">
        <w:rPr>
          <w:rFonts w:ascii="Garamond" w:hAnsi="Garamond"/>
          <w:bCs/>
          <w:sz w:val="22"/>
          <w:szCs w:val="22"/>
        </w:rPr>
        <w:t xml:space="preserve"> pod vyrovnávky v ploše 40% celkové plochy (4 506 m</w:t>
      </w:r>
      <w:r w:rsidR="008F056C" w:rsidRPr="00EE0298">
        <w:rPr>
          <w:rFonts w:ascii="Garamond" w:hAnsi="Garamond"/>
          <w:bCs/>
          <w:sz w:val="22"/>
          <w:szCs w:val="22"/>
          <w:vertAlign w:val="superscript"/>
        </w:rPr>
        <w:t>2</w:t>
      </w:r>
      <w:r w:rsidR="008F056C" w:rsidRPr="00EE0298">
        <w:rPr>
          <w:rFonts w:ascii="Garamond" w:hAnsi="Garamond"/>
          <w:bCs/>
          <w:sz w:val="22"/>
          <w:szCs w:val="22"/>
        </w:rPr>
        <w:t>), provedení vyrovnávek z ACL 16+ z nemodifikovaného asfaltu v ploše 40% (4 506 m</w:t>
      </w:r>
      <w:r w:rsidR="008F056C" w:rsidRPr="00EE0298">
        <w:rPr>
          <w:rFonts w:ascii="Garamond" w:hAnsi="Garamond"/>
          <w:bCs/>
          <w:sz w:val="22"/>
          <w:szCs w:val="22"/>
          <w:vertAlign w:val="superscript"/>
        </w:rPr>
        <w:t>2</w:t>
      </w:r>
      <w:r w:rsidR="008F056C" w:rsidRPr="00EE0298">
        <w:rPr>
          <w:rFonts w:ascii="Garamond" w:hAnsi="Garamond"/>
          <w:bCs/>
          <w:sz w:val="22"/>
          <w:szCs w:val="22"/>
        </w:rPr>
        <w:t xml:space="preserve">) v </w:t>
      </w:r>
      <w:proofErr w:type="spellStart"/>
      <w:r w:rsidR="008F056C" w:rsidRPr="00EE0298">
        <w:rPr>
          <w:rFonts w:ascii="Garamond" w:hAnsi="Garamond"/>
          <w:bCs/>
          <w:sz w:val="22"/>
          <w:szCs w:val="22"/>
        </w:rPr>
        <w:t>tl</w:t>
      </w:r>
      <w:proofErr w:type="spellEnd"/>
      <w:r w:rsidR="008F056C" w:rsidRPr="00EE0298">
        <w:rPr>
          <w:rFonts w:ascii="Garamond" w:hAnsi="Garamond"/>
          <w:bCs/>
          <w:sz w:val="22"/>
          <w:szCs w:val="22"/>
        </w:rPr>
        <w:t>. 50 mm, postřik živičný spojovací ze silniční emulze v množství do 0,4 kg/m2 pro obrusnou vrstvu (11 264 m</w:t>
      </w:r>
      <w:r w:rsidR="008F056C" w:rsidRPr="00EE0298">
        <w:rPr>
          <w:rFonts w:ascii="Garamond" w:hAnsi="Garamond"/>
          <w:bCs/>
          <w:sz w:val="22"/>
          <w:szCs w:val="22"/>
          <w:vertAlign w:val="superscript"/>
        </w:rPr>
        <w:t>2</w:t>
      </w:r>
      <w:r w:rsidR="008F056C" w:rsidRPr="00EE0298">
        <w:rPr>
          <w:rFonts w:ascii="Garamond" w:hAnsi="Garamond"/>
          <w:bCs/>
          <w:sz w:val="22"/>
          <w:szCs w:val="22"/>
        </w:rPr>
        <w:t>),</w:t>
      </w:r>
      <w:bookmarkEnd w:id="0"/>
      <w:r w:rsidR="008F056C" w:rsidRPr="00EE0298">
        <w:rPr>
          <w:rFonts w:ascii="Garamond" w:hAnsi="Garamond"/>
          <w:bCs/>
          <w:sz w:val="22"/>
          <w:szCs w:val="22"/>
        </w:rPr>
        <w:t xml:space="preserve"> položením obrusné vrstvy ACO 11+ z nemodifikovaného asfaltu </w:t>
      </w:r>
      <w:proofErr w:type="spellStart"/>
      <w:r w:rsidR="008F056C" w:rsidRPr="00EE0298">
        <w:rPr>
          <w:rFonts w:ascii="Garamond" w:hAnsi="Garamond"/>
          <w:bCs/>
          <w:sz w:val="22"/>
          <w:szCs w:val="22"/>
        </w:rPr>
        <w:t>tl</w:t>
      </w:r>
      <w:proofErr w:type="spellEnd"/>
      <w:r w:rsidR="008F056C" w:rsidRPr="00EE0298">
        <w:rPr>
          <w:rFonts w:ascii="Garamond" w:hAnsi="Garamond"/>
          <w:bCs/>
          <w:sz w:val="22"/>
          <w:szCs w:val="22"/>
        </w:rPr>
        <w:t>. 50 mm (11 264 m</w:t>
      </w:r>
      <w:r w:rsidR="008F056C" w:rsidRPr="00EE0298">
        <w:rPr>
          <w:rFonts w:ascii="Garamond" w:hAnsi="Garamond"/>
          <w:bCs/>
          <w:sz w:val="22"/>
          <w:szCs w:val="22"/>
          <w:vertAlign w:val="superscript"/>
        </w:rPr>
        <w:t>2</w:t>
      </w:r>
      <w:r w:rsidR="008F056C" w:rsidRPr="00EE0298">
        <w:rPr>
          <w:rFonts w:ascii="Garamond" w:hAnsi="Garamond"/>
          <w:bCs/>
          <w:sz w:val="22"/>
          <w:szCs w:val="22"/>
        </w:rPr>
        <w:t xml:space="preserve">), zpevnění krajnic ze štěrkodrti </w:t>
      </w:r>
      <w:proofErr w:type="spellStart"/>
      <w:r w:rsidR="008F056C" w:rsidRPr="00EE0298">
        <w:rPr>
          <w:rFonts w:ascii="Garamond" w:hAnsi="Garamond"/>
          <w:bCs/>
          <w:sz w:val="22"/>
          <w:szCs w:val="22"/>
        </w:rPr>
        <w:t>tl</w:t>
      </w:r>
      <w:proofErr w:type="spellEnd"/>
      <w:r w:rsidR="008F056C" w:rsidRPr="00EE0298">
        <w:rPr>
          <w:rFonts w:ascii="Garamond" w:hAnsi="Garamond"/>
          <w:bCs/>
          <w:sz w:val="22"/>
          <w:szCs w:val="22"/>
        </w:rPr>
        <w:t>. 50 mm (1 745 m</w:t>
      </w:r>
      <w:r w:rsidR="008F056C" w:rsidRPr="00EE0298">
        <w:rPr>
          <w:rFonts w:ascii="Garamond" w:hAnsi="Garamond"/>
          <w:bCs/>
          <w:sz w:val="22"/>
          <w:szCs w:val="22"/>
          <w:vertAlign w:val="superscript"/>
        </w:rPr>
        <w:t>2</w:t>
      </w:r>
      <w:r w:rsidR="008F056C" w:rsidRPr="00EE0298">
        <w:rPr>
          <w:rFonts w:ascii="Garamond" w:hAnsi="Garamond"/>
          <w:bCs/>
          <w:sz w:val="22"/>
          <w:szCs w:val="22"/>
        </w:rPr>
        <w:t>), VDZ s předznačením vodící čáry š. 12,5 cm v barvě (3 490 bm).</w:t>
      </w:r>
      <w:r w:rsidR="00A748A5" w:rsidRPr="00A748A5">
        <w:rPr>
          <w:rFonts w:ascii="Garamond" w:hAnsi="Garamond"/>
          <w:bCs/>
          <w:sz w:val="22"/>
          <w:szCs w:val="22"/>
        </w:rPr>
        <w:t xml:space="preserve"> </w:t>
      </w:r>
    </w:p>
    <w:p w14:paraId="3963E585" w14:textId="77777777" w:rsidR="00900702" w:rsidRPr="000C298C" w:rsidRDefault="00900702"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18EDDE86"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 xml:space="preserve">Zadávací řízení evidenční </w:t>
      </w:r>
      <w:r w:rsidRPr="0003095E">
        <w:rPr>
          <w:rFonts w:ascii="Garamond" w:hAnsi="Garamond"/>
          <w:sz w:val="22"/>
          <w:szCs w:val="22"/>
        </w:rPr>
        <w:t>č</w:t>
      </w:r>
      <w:r w:rsidR="0003095E" w:rsidRPr="0003095E">
        <w:rPr>
          <w:rFonts w:ascii="Garamond" w:hAnsi="Garamond"/>
          <w:sz w:val="22"/>
          <w:szCs w:val="22"/>
        </w:rPr>
        <w:t>. 76</w:t>
      </w:r>
      <w:r w:rsidRPr="0003095E">
        <w:rPr>
          <w:rFonts w:ascii="Garamond" w:hAnsi="Garamond"/>
          <w:sz w:val="22"/>
          <w:szCs w:val="22"/>
        </w:rPr>
        <w:t>/MR/</w:t>
      </w:r>
      <w:r w:rsidR="0003095E" w:rsidRPr="0003095E">
        <w:rPr>
          <w:rFonts w:ascii="Garamond" w:hAnsi="Garamond"/>
          <w:sz w:val="22"/>
          <w:szCs w:val="22"/>
        </w:rPr>
        <w:t>SÚ/</w:t>
      </w:r>
      <w:r w:rsidRPr="0003095E">
        <w:rPr>
          <w:rFonts w:ascii="Garamond" w:hAnsi="Garamond"/>
          <w:sz w:val="22"/>
          <w:szCs w:val="22"/>
        </w:rPr>
        <w:t>202</w:t>
      </w:r>
      <w:r w:rsidR="004E612F" w:rsidRPr="0003095E">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AF48F2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0C298C">
        <w:rPr>
          <w:rFonts w:ascii="Garamond" w:hAnsi="Garamond"/>
          <w:szCs w:val="22"/>
        </w:rPr>
        <w:t>květen 2025</w:t>
      </w:r>
      <w:r w:rsidR="00900702" w:rsidRPr="00D57C48">
        <w:rPr>
          <w:rFonts w:ascii="Garamond" w:hAnsi="Garamond"/>
          <w:szCs w:val="22"/>
        </w:rPr>
        <w:t xml:space="preserve"> </w:t>
      </w:r>
    </w:p>
    <w:p w14:paraId="44B4A760" w14:textId="1F1F08B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C298C">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202BA0C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sidRPr="00EA6735">
        <w:rPr>
          <w:rFonts w:ascii="Garamond" w:hAnsi="Garamond"/>
          <w:b/>
          <w:bCs/>
          <w:szCs w:val="22"/>
        </w:rPr>
        <w:t>30. června 2025</w:t>
      </w:r>
      <w:r w:rsidR="00900702" w:rsidRPr="00D57C48">
        <w:rPr>
          <w:rFonts w:ascii="Garamond" w:hAnsi="Garamond"/>
          <w:szCs w:val="22"/>
        </w:rPr>
        <w:t xml:space="preserve"> </w:t>
      </w:r>
    </w:p>
    <w:p w14:paraId="273214AC" w14:textId="77777777"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0C298C">
        <w:rPr>
          <w:rFonts w:ascii="Garamond" w:hAnsi="Garamond"/>
          <w:szCs w:val="22"/>
        </w:rPr>
        <w:t>10. července 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1"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1"/>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0CDF9129" w14:textId="77777777" w:rsidR="004028CB" w:rsidRDefault="004028CB"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6E8E08BF"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2E24" w:rsidRPr="00EA6735">
        <w:rPr>
          <w:rFonts w:ascii="Garamond" w:hAnsi="Garamond"/>
          <w:b/>
          <w:bCs/>
          <w:szCs w:val="22"/>
        </w:rPr>
        <w:t>36</w:t>
      </w:r>
      <w:r w:rsidR="00900702" w:rsidRPr="00EA6735">
        <w:rPr>
          <w:rFonts w:ascii="Garamond" w:hAnsi="Garamond"/>
          <w:b/>
          <w:bCs/>
          <w:szCs w:val="22"/>
        </w:rPr>
        <w:t xml:space="preserve"> měsíců na stavební práce a kryt vozovky, </w:t>
      </w:r>
      <w:r w:rsidR="008D022E" w:rsidRPr="00EA6735">
        <w:rPr>
          <w:rFonts w:ascii="Garamond" w:hAnsi="Garamond"/>
          <w:b/>
          <w:bCs/>
          <w:szCs w:val="22"/>
        </w:rPr>
        <w:t>24</w:t>
      </w:r>
      <w:r w:rsidR="00900702" w:rsidRPr="00EA6735">
        <w:rPr>
          <w:rFonts w:ascii="Garamond" w:hAnsi="Garamond"/>
          <w:b/>
          <w:bCs/>
          <w:szCs w:val="22"/>
        </w:rPr>
        <w:t xml:space="preserve"> měsíců na vodorovné dopravní značení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lastRenderedPageBreak/>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lastRenderedPageBreak/>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w:t>
      </w:r>
      <w:r w:rsidRPr="00D57C48">
        <w:rPr>
          <w:rFonts w:ascii="Garamond" w:hAnsi="Garamond"/>
          <w:sz w:val="22"/>
          <w:szCs w:val="22"/>
        </w:rPr>
        <w:lastRenderedPageBreak/>
        <w:t>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7051084C"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03095E">
        <w:rPr>
          <w:rFonts w:ascii="Garamond" w:hAnsi="Garamond"/>
          <w:sz w:val="22"/>
          <w:szCs w:val="22"/>
        </w:rPr>
        <w:t>č.</w:t>
      </w:r>
      <w:r w:rsidR="0003095E" w:rsidRPr="0003095E">
        <w:rPr>
          <w:rFonts w:ascii="Garamond" w:hAnsi="Garamond"/>
          <w:sz w:val="22"/>
          <w:szCs w:val="22"/>
        </w:rPr>
        <w:t xml:space="preserve"> 7</w:t>
      </w:r>
      <w:r w:rsidR="0003095E">
        <w:rPr>
          <w:rFonts w:ascii="Garamond" w:hAnsi="Garamond"/>
          <w:sz w:val="22"/>
          <w:szCs w:val="22"/>
        </w:rPr>
        <w:t>6/</w:t>
      </w:r>
      <w:r w:rsidRPr="0003095E">
        <w:rPr>
          <w:rFonts w:ascii="Garamond" w:hAnsi="Garamond"/>
          <w:sz w:val="22"/>
          <w:szCs w:val="22"/>
        </w:rPr>
        <w:t>MR/</w:t>
      </w:r>
      <w:r w:rsidR="0003095E" w:rsidRPr="0003095E">
        <w:rPr>
          <w:rFonts w:ascii="Garamond" w:hAnsi="Garamond"/>
          <w:sz w:val="22"/>
          <w:szCs w:val="22"/>
        </w:rPr>
        <w:t>SÚ/</w:t>
      </w:r>
      <w:r w:rsidRPr="0003095E">
        <w:rPr>
          <w:rFonts w:ascii="Garamond" w:hAnsi="Garamond"/>
          <w:sz w:val="22"/>
          <w:szCs w:val="22"/>
        </w:rPr>
        <w:t>202</w:t>
      </w:r>
      <w:r w:rsidR="004E612F" w:rsidRPr="0003095E">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049D04EF" w:rsidR="00900702" w:rsidRPr="00D57C48" w:rsidRDefault="00900702" w:rsidP="00900702">
      <w:pPr>
        <w:jc w:val="both"/>
        <w:rPr>
          <w:rFonts w:ascii="Garamond" w:hAnsi="Garamond"/>
          <w:sz w:val="22"/>
        </w:rPr>
      </w:pPr>
    </w:p>
    <w:p w14:paraId="057B3B18" w14:textId="77777777" w:rsidR="00900702" w:rsidRPr="00D57C48" w:rsidRDefault="00900702" w:rsidP="00900702">
      <w:pPr>
        <w:ind w:left="720" w:hanging="720"/>
        <w:jc w:val="both"/>
        <w:rPr>
          <w:rFonts w:ascii="Garamond" w:hAnsi="Garamond"/>
          <w:sz w:val="22"/>
        </w:rPr>
      </w:pPr>
    </w:p>
    <w:p w14:paraId="76606778" w14:textId="77777777" w:rsidR="00900702" w:rsidRPr="00D57C48" w:rsidRDefault="00900702" w:rsidP="00900702"/>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03095E">
      <w:fldChar w:fldCharType="begin"/>
    </w:r>
    <w:r w:rsidR="0003095E">
      <w:instrText xml:space="preserve"> NUMPAGES   \* MERGEFORMAT </w:instrText>
    </w:r>
    <w:r w:rsidR="0003095E">
      <w:fldChar w:fldCharType="separate"/>
    </w:r>
    <w:r w:rsidR="000E2931" w:rsidRPr="000E2931">
      <w:rPr>
        <w:noProof/>
        <w:sz w:val="18"/>
        <w:szCs w:val="18"/>
      </w:rPr>
      <w:t>12</w:t>
    </w:r>
    <w:r w:rsidR="0003095E">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095E"/>
    <w:rsid w:val="0003623B"/>
    <w:rsid w:val="000A07FD"/>
    <w:rsid w:val="000A39E2"/>
    <w:rsid w:val="000C298C"/>
    <w:rsid w:val="000E2931"/>
    <w:rsid w:val="001210E8"/>
    <w:rsid w:val="001D2EEC"/>
    <w:rsid w:val="00232542"/>
    <w:rsid w:val="002759E8"/>
    <w:rsid w:val="002E2EF1"/>
    <w:rsid w:val="002E565F"/>
    <w:rsid w:val="002F5CC2"/>
    <w:rsid w:val="003221A4"/>
    <w:rsid w:val="003D0A9C"/>
    <w:rsid w:val="004028CB"/>
    <w:rsid w:val="004A130B"/>
    <w:rsid w:val="004E612F"/>
    <w:rsid w:val="00557D7A"/>
    <w:rsid w:val="00584FEC"/>
    <w:rsid w:val="005A1A26"/>
    <w:rsid w:val="005C42AA"/>
    <w:rsid w:val="005F0C4C"/>
    <w:rsid w:val="005F4745"/>
    <w:rsid w:val="00613C40"/>
    <w:rsid w:val="00655574"/>
    <w:rsid w:val="006629CA"/>
    <w:rsid w:val="006937AF"/>
    <w:rsid w:val="006A3258"/>
    <w:rsid w:val="006C0B6C"/>
    <w:rsid w:val="006F5DAB"/>
    <w:rsid w:val="00751AD1"/>
    <w:rsid w:val="00752AC3"/>
    <w:rsid w:val="0077126A"/>
    <w:rsid w:val="007935AC"/>
    <w:rsid w:val="007B70B4"/>
    <w:rsid w:val="007E7F38"/>
    <w:rsid w:val="0084676B"/>
    <w:rsid w:val="00882DB5"/>
    <w:rsid w:val="008D022E"/>
    <w:rsid w:val="008D30EB"/>
    <w:rsid w:val="008F056C"/>
    <w:rsid w:val="00900702"/>
    <w:rsid w:val="00962573"/>
    <w:rsid w:val="00975D8C"/>
    <w:rsid w:val="009A473E"/>
    <w:rsid w:val="009B4345"/>
    <w:rsid w:val="00A72D27"/>
    <w:rsid w:val="00A748A5"/>
    <w:rsid w:val="00AF2847"/>
    <w:rsid w:val="00B133C9"/>
    <w:rsid w:val="00C0339C"/>
    <w:rsid w:val="00C620C7"/>
    <w:rsid w:val="00C66C4E"/>
    <w:rsid w:val="00CC1527"/>
    <w:rsid w:val="00CF7AC9"/>
    <w:rsid w:val="00D57F46"/>
    <w:rsid w:val="00D94E61"/>
    <w:rsid w:val="00DD2E24"/>
    <w:rsid w:val="00E0701C"/>
    <w:rsid w:val="00E219A0"/>
    <w:rsid w:val="00E4757C"/>
    <w:rsid w:val="00EA6735"/>
    <w:rsid w:val="00EC0C88"/>
    <w:rsid w:val="00EE0298"/>
    <w:rsid w:val="00EE6CEA"/>
    <w:rsid w:val="00F12042"/>
    <w:rsid w:val="00F77C0E"/>
    <w:rsid w:val="00FB492B"/>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6531</Words>
  <Characters>38533</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18</cp:revision>
  <dcterms:created xsi:type="dcterms:W3CDTF">2025-03-13T13:05:00Z</dcterms:created>
  <dcterms:modified xsi:type="dcterms:W3CDTF">2025-04-04T10:33:00Z</dcterms:modified>
</cp:coreProperties>
</file>